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</w:t>
      </w:r>
      <w:bookmarkStart w:id="0" w:name="_GoBack"/>
      <w:bookmarkEnd w:id="0"/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D5B957E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4464" w:rsidRPr="00B04464">
        <w:rPr>
          <w:rFonts w:ascii="Arial" w:hAnsi="Arial" w:cs="Arial"/>
          <w:sz w:val="21"/>
          <w:szCs w:val="21"/>
        </w:rPr>
        <w:t>„</w:t>
      </w:r>
      <w:r w:rsidR="00B04464" w:rsidRPr="00B04464">
        <w:rPr>
          <w:rFonts w:ascii="Arial" w:hAnsi="Arial" w:cs="Arial"/>
          <w:b/>
          <w:sz w:val="21"/>
          <w:szCs w:val="21"/>
        </w:rPr>
        <w:t>Zagospodarowanie terenu wokół budynku OSP Ostrożanka”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C890-8E2D-4BE0-8F52-594CECFA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5</cp:revision>
  <cp:lastPrinted>2016-07-26T10:32:00Z</cp:lastPrinted>
  <dcterms:created xsi:type="dcterms:W3CDTF">2022-05-19T05:50:00Z</dcterms:created>
  <dcterms:modified xsi:type="dcterms:W3CDTF">2022-05-19T05:53:00Z</dcterms:modified>
</cp:coreProperties>
</file>