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B81F6A4" w14:textId="371F2DDF" w:rsidR="00E57C6D" w:rsidRDefault="00E37440" w:rsidP="001610B9">
      <w:pPr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  <w:r w:rsidR="00AE317A" w:rsidRPr="00AE317A">
        <w:rPr>
          <w:b/>
          <w:bCs/>
          <w:color w:val="000000"/>
        </w:rPr>
        <w:t>Budowa oświetlenia drogowego w miejscowości Gadka</w:t>
      </w:r>
      <w:r w:rsidR="001610B9">
        <w:rPr>
          <w:b/>
          <w:bCs/>
          <w:color w:val="000000"/>
        </w:rPr>
        <w:t>.</w:t>
      </w:r>
      <w:bookmarkStart w:id="0" w:name="_GoBack"/>
      <w:bookmarkEnd w:id="0"/>
    </w:p>
    <w:p w14:paraId="3F323722" w14:textId="77777777" w:rsidR="001610B9" w:rsidRPr="001610B9" w:rsidRDefault="001610B9" w:rsidP="001610B9">
      <w:pPr>
        <w:ind w:left="284" w:hanging="284"/>
        <w:jc w:val="both"/>
      </w:pPr>
    </w:p>
    <w:p w14:paraId="296C51FD" w14:textId="4CCDED37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3AAA3876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2E30563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4B465018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E1D298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7F534EB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2EB0DBE1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0AD8DB1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326F088F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76FD7198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30510C4F" w:rsidR="00BD3655" w:rsidRPr="00BD3655" w:rsidRDefault="00B122DC" w:rsidP="00B122DC">
      <w:pPr>
        <w:jc w:val="both"/>
      </w:pPr>
      <w:r>
        <w:t>10)p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6D717064" w14:textId="5C6971BA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11)d</w:t>
      </w:r>
      <w:r w:rsidR="001C753E">
        <w:rPr>
          <w:color w:val="000000"/>
        </w:rPr>
        <w:t>okonanie odbioru technicznego przez Zakład Energetyczny przy udzial</w:t>
      </w:r>
      <w:r w:rsidR="00B7369A">
        <w:rPr>
          <w:color w:val="000000"/>
        </w:rPr>
        <w:t>e przedstawiciela Zamawiającego,</w:t>
      </w:r>
    </w:p>
    <w:p w14:paraId="33F19647" w14:textId="38AA96B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12)p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682A81CF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13)z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CDB16C8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14)w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7DA63050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10B9">
        <w:rPr>
          <w:color w:val="000000"/>
        </w:rPr>
        <w:t>15.07</w:t>
      </w:r>
      <w:r w:rsidR="00E57C6D">
        <w:rPr>
          <w:color w:val="000000"/>
        </w:rPr>
        <w:t>.2022r.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 xml:space="preserve">, koncesjach na roboty budowlane lub usługi oraz partnerstwie </w:t>
      </w:r>
      <w:r w:rsidR="00A34DDA">
        <w:rPr>
          <w:color w:val="000000" w:themeColor="text1"/>
        </w:rPr>
        <w:lastRenderedPageBreak/>
        <w:t>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10B9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AE317A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2022-04-25T09:51:00Z</dcterms:created>
  <dcterms:modified xsi:type="dcterms:W3CDTF">2022-04-25T09:51:00Z</dcterms:modified>
</cp:coreProperties>
</file>