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2019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AD5D75">
        <w:rPr>
          <w:color w:val="000000" w:themeColor="text1"/>
        </w:rPr>
        <w:t>1843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E86525" w:rsidRPr="00AD5D75" w:rsidRDefault="00054894" w:rsidP="00AD5D75">
      <w:pPr>
        <w:jc w:val="both"/>
      </w:pPr>
      <w:r w:rsidRPr="00F24CBD">
        <w:rPr>
          <w:b/>
          <w:color w:val="000000"/>
        </w:rPr>
        <w:t>Budowa oświetlenia drogowego przy drodze gminnej nr 347011T Mirzec Majorat – Tychów Nowy i przy drodze gminnej nr 347021T Mirzec Podborki – Mirzec Majorat</w:t>
      </w:r>
      <w:r>
        <w:rPr>
          <w:b/>
          <w:color w:val="000000"/>
        </w:rPr>
        <w:t xml:space="preserve"> </w:t>
      </w:r>
      <w:r w:rsidR="00E86525" w:rsidRPr="00AD5D75">
        <w:t xml:space="preserve">Przedmiot zamówienia obejmuje: </w:t>
      </w:r>
    </w:p>
    <w:p w:rsidR="00AD5D75" w:rsidRPr="00054894" w:rsidRDefault="00AD5D75" w:rsidP="00054894">
      <w:pPr>
        <w:numPr>
          <w:ilvl w:val="0"/>
          <w:numId w:val="32"/>
        </w:numPr>
        <w:jc w:val="both"/>
        <w:rPr>
          <w:bCs/>
          <w:color w:val="000000" w:themeColor="text1"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 xml:space="preserve">zabudowanymi oprawami typu LED o mocy </w:t>
      </w:r>
      <w:r w:rsidR="00054894">
        <w:rPr>
          <w:bCs/>
          <w:color w:val="000000" w:themeColor="text1"/>
        </w:rPr>
        <w:t>70</w:t>
      </w:r>
      <w:r w:rsidRPr="00483B27">
        <w:rPr>
          <w:bCs/>
          <w:color w:val="000000" w:themeColor="text1"/>
        </w:rPr>
        <w:t>W</w:t>
      </w:r>
      <w:r>
        <w:rPr>
          <w:bCs/>
          <w:color w:val="000000"/>
        </w:rPr>
        <w:t xml:space="preserve"> ze </w:t>
      </w:r>
      <w:r w:rsidR="00054894">
        <w:rPr>
          <w:bCs/>
          <w:color w:val="000000"/>
        </w:rPr>
        <w:t>stacji Mirzec Czerwona</w:t>
      </w:r>
      <w:r w:rsidRPr="00AA138E">
        <w:rPr>
          <w:bCs/>
          <w:color w:val="FF0000"/>
        </w:rPr>
        <w:t xml:space="preserve"> </w:t>
      </w:r>
      <w:r w:rsidRPr="00553F11">
        <w:rPr>
          <w:bCs/>
          <w:color w:val="000000" w:themeColor="text1"/>
        </w:rPr>
        <w:t xml:space="preserve">(odcinek o łącznej długości ok. </w:t>
      </w:r>
      <w:r w:rsidR="00054894">
        <w:rPr>
          <w:bCs/>
          <w:color w:val="000000" w:themeColor="text1"/>
        </w:rPr>
        <w:t>835</w:t>
      </w:r>
      <w:r w:rsidRPr="00553F11">
        <w:rPr>
          <w:bCs/>
          <w:color w:val="000000" w:themeColor="text1"/>
        </w:rPr>
        <w:t xml:space="preserve"> m),</w:t>
      </w:r>
    </w:p>
    <w:p w:rsidR="00AD5D75" w:rsidRPr="00742A0B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  <w:r>
        <w:rPr>
          <w:bCs/>
        </w:rPr>
        <w:t>,</w:t>
      </w:r>
    </w:p>
    <w:p w:rsidR="00AD5D75" w:rsidRPr="00AF59AC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potrzeby),</w:t>
      </w:r>
    </w:p>
    <w:p w:rsidR="00AD5D75" w:rsidRDefault="00AD5D75" w:rsidP="00AD5D7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  <w:r>
        <w:rPr>
          <w:bCs/>
        </w:rPr>
        <w:t>.</w:t>
      </w:r>
    </w:p>
    <w:p w:rsidR="00E86525" w:rsidRDefault="00E86525" w:rsidP="001B2DEE">
      <w:pPr>
        <w:ind w:left="360"/>
        <w:jc w:val="both"/>
        <w:rPr>
          <w:bCs/>
        </w:rPr>
      </w:pPr>
      <w:r w:rsidRPr="005012ED">
        <w:rPr>
          <w:b/>
          <w:bCs/>
        </w:rPr>
        <w:t xml:space="preserve">Szczegółowy opis </w:t>
      </w:r>
      <w:r w:rsidR="005D7F29">
        <w:rPr>
          <w:b/>
          <w:bCs/>
        </w:rPr>
        <w:t>zawiera projekt budowlany i przedmiar robót stanowiący załącznik</w:t>
      </w:r>
      <w:r w:rsidRPr="005012ED">
        <w:rPr>
          <w:b/>
          <w:bCs/>
        </w:rPr>
        <w:t xml:space="preserve"> do zapytania ofertowego</w:t>
      </w:r>
      <w:r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lastRenderedPageBreak/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7C7227">
        <w:rPr>
          <w:color w:val="000000"/>
        </w:rPr>
        <w:t>1</w:t>
      </w:r>
      <w:r w:rsidR="00AD5D75">
        <w:rPr>
          <w:color w:val="000000"/>
        </w:rPr>
        <w:t>7.12.2019</w:t>
      </w:r>
      <w:r w:rsidR="00E86525">
        <w:rPr>
          <w:color w:val="000000"/>
        </w:rPr>
        <w:t>r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 xml:space="preserve">Podstawą do rozliczenia pomiędzy Zamawiającym a Wykonawcą jest faktura VAT, płatna </w:t>
      </w:r>
      <w:r w:rsidRPr="00D41E3C">
        <w:tab/>
        <w:t xml:space="preserve">w </w:t>
      </w:r>
      <w:r w:rsidRPr="00D41E3C">
        <w:tab/>
        <w:t xml:space="preserve">terminie 7 dni od daty jej otrzymania przez Zamawiającego wraz z protokołem </w:t>
      </w:r>
      <w:r w:rsidRPr="00D41E3C">
        <w:tab/>
        <w:t>odbioru.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 U. z 2018 r. poz. 2174 z </w:t>
      </w:r>
      <w:proofErr w:type="spellStart"/>
      <w:r w:rsidRPr="00D41E3C">
        <w:t>późn</w:t>
      </w:r>
      <w:proofErr w:type="spellEnd"/>
      <w:r w:rsidRPr="00D41E3C">
        <w:t>. zm.).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41E3C">
        <w:t>OpenPEPPOL</w:t>
      </w:r>
      <w:proofErr w:type="spellEnd"/>
      <w:r w:rsidRPr="00D41E3C"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D41E3C">
          <w:rPr>
            <w:color w:val="0000FF" w:themeColor="hyperlink"/>
            <w:u w:val="single"/>
          </w:rPr>
          <w:t>https://efaktura.gov.pl/uslugi-pef/</w:t>
        </w:r>
      </w:hyperlink>
      <w:r w:rsidRPr="00D41E3C">
        <w:t>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</w:pPr>
      <w:r w:rsidRPr="00D41E3C">
        <w:t>W związku z obowiązkiem odbioru ustrukturyzowanych faktur elektronicznych, o których mowa w art. 2 pkt. 4 ustawy z dnia 9 listopada 2018 r. o elektronicznym fakturowaniu w zamówieniach publicznych (Dz. U. z 2018 r. poz. 2191)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</w:pPr>
      <w:r w:rsidRPr="00D41E3C">
        <w:t xml:space="preserve">Wykonawca oświadcza, że: 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 zamierza</w:t>
      </w:r>
      <w:bookmarkStart w:id="0" w:name="_GoBack"/>
      <w:bookmarkEnd w:id="0"/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rPr>
          <w:rFonts w:ascii="Calibri" w:hAnsi="Calibri"/>
        </w:rPr>
        <w:t>X</w:t>
      </w:r>
      <w:r w:rsidRPr="00D41E3C">
        <w:t xml:space="preserve"> nie zamierza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D41E3C" w:rsidRPr="00D41E3C" w:rsidRDefault="00D41E3C" w:rsidP="00D41E3C">
      <w:pPr>
        <w:tabs>
          <w:tab w:val="left" w:pos="426"/>
        </w:tabs>
        <w:ind w:left="426" w:hanging="142"/>
        <w:jc w:val="both"/>
      </w:pPr>
      <w:r w:rsidRPr="00D41E3C">
        <w:t>o tym fakcie.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Płatność odbywać się będzie za pomocą SPLIT PAYMENT.</w:t>
      </w:r>
    </w:p>
    <w:p w:rsidR="00D41E3C" w:rsidRPr="00D41E3C" w:rsidRDefault="00D41E3C" w:rsidP="00D41E3C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</w:pPr>
      <w:r w:rsidRPr="00D41E3C">
        <w:t>Faktura za przedmiot umowy będzie płatna przelewem na konto Wykonawcy. Za datę          zapłaty uważa się datę obciążenia rachunku Zamawiającego.</w:t>
      </w:r>
    </w:p>
    <w:p w:rsidR="00316055" w:rsidRDefault="00316055" w:rsidP="00D41E3C">
      <w:pPr>
        <w:tabs>
          <w:tab w:val="left" w:pos="426"/>
        </w:tabs>
        <w:ind w:left="180" w:hanging="28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8"/>
  </w:num>
  <w:num w:numId="5">
    <w:abstractNumId w:val="16"/>
  </w:num>
  <w:num w:numId="6">
    <w:abstractNumId w:val="1"/>
  </w:num>
  <w:num w:numId="7">
    <w:abstractNumId w:val="34"/>
  </w:num>
  <w:num w:numId="8">
    <w:abstractNumId w:val="17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6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33"/>
  </w:num>
  <w:num w:numId="18">
    <w:abstractNumId w:val="24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2"/>
  </w:num>
  <w:num w:numId="27">
    <w:abstractNumId w:val="15"/>
  </w:num>
  <w:num w:numId="28">
    <w:abstractNumId w:val="2"/>
  </w:num>
  <w:num w:numId="29">
    <w:abstractNumId w:val="18"/>
  </w:num>
  <w:num w:numId="30">
    <w:abstractNumId w:val="37"/>
  </w:num>
  <w:num w:numId="31">
    <w:abstractNumId w:val="25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0"/>
  </w:num>
  <w:num w:numId="37">
    <w:abstractNumId w:val="38"/>
  </w:num>
  <w:num w:numId="38">
    <w:abstractNumId w:val="4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54894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D7F29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7C7227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5D75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1E3C"/>
    <w:rsid w:val="00D4203C"/>
    <w:rsid w:val="00D440C8"/>
    <w:rsid w:val="00DF4906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5</cp:revision>
  <cp:lastPrinted>2017-09-13T10:44:00Z</cp:lastPrinted>
  <dcterms:created xsi:type="dcterms:W3CDTF">2019-10-21T11:46:00Z</dcterms:created>
  <dcterms:modified xsi:type="dcterms:W3CDTF">2019-10-22T10:28:00Z</dcterms:modified>
</cp:coreProperties>
</file>